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附件1</w:t>
      </w:r>
    </w:p>
    <w:p>
      <w:pPr>
        <w:keepNext w:val="0"/>
        <w:keepLines w:val="0"/>
        <w:widowControl/>
        <w:suppressLineNumbers w:val="0"/>
        <w:shd w:val="clear" w:fill="FFFFFF"/>
        <w:adjustRightInd w:val="0"/>
        <w:snapToGrid w:val="0"/>
        <w:spacing w:before="0" w:beforeAutospacing="0" w:after="0" w:afterAutospacing="0" w:line="560" w:lineRule="exact"/>
        <w:ind w:left="0" w:right="0" w:firstLine="643" w:firstLineChars="200"/>
        <w:jc w:val="center"/>
        <w:rPr>
          <w:rFonts w:hint="eastAsia" w:ascii="仿宋_GB2312" w:hAnsi="仿宋" w:eastAsia="仿宋_GB2312" w:cs="Mangal"/>
          <w:b/>
          <w:bCs/>
          <w:sz w:val="32"/>
          <w:szCs w:val="32"/>
          <w:shd w:val="clear" w:fill="FFFFFF"/>
          <w:lang w:val="en-US"/>
        </w:rPr>
      </w:pPr>
      <w:bookmarkStart w:id="0" w:name="_GoBack"/>
      <w:r>
        <w:rPr>
          <w:rFonts w:hint="eastAsia" w:ascii="仿宋_GB2312" w:hAnsi="仿宋" w:eastAsia="仿宋_GB2312" w:cs="Mangal"/>
          <w:b/>
          <w:bCs/>
          <w:kern w:val="2"/>
          <w:sz w:val="32"/>
          <w:szCs w:val="32"/>
          <w:shd w:val="clear" w:fill="FFFFFF"/>
          <w:lang w:val="en-US" w:eastAsia="zh-CN" w:bidi="ar"/>
        </w:rPr>
        <w:t>“学创杯”创业综合模拟大赛主体赛方案</w:t>
      </w:r>
    </w:p>
    <w:bookmarkEnd w:id="0"/>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一、比赛形式</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全程采用《创业之星》软件作为竞技平台，模拟企业的团队分工、战略规划、市场研究、生产计划、研发投入、销售管理、市场拓展、报表分析等管理决策和 4 个季度的企业运营。</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二、评审规则</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大赛组委会将对有效报名团队进行电脑随机分组，各团队最终成绩以经营结束后系统中自动计算的成绩为准。</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比赛全程采用《创业之星》软件作为官方竞赛平台。比赛选拔将采取现场发布数据规则，在比赛正式开始前发布。训练期间的行业模板以系统内显示为准。</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创业综合模拟训练环节团队最终成绩以经营结束后系统中自动计算的成绩为准。成绩计算方法：</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 xml:space="preserve">团队最终得分(A)＝比赛结束季度综合表现分数(B)－累计减分(C) </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综合表现分数(B)＝盈利表现＋财务表现＋市场表现＋投资表现＋成长表现</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累计减分(C)＝经营过程中累计出现紧急贷款次数*5</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Mangal"/>
          <w:sz w:val="32"/>
          <w:szCs w:val="32"/>
          <w:shd w:val="clear" w:fill="FFFFFF"/>
          <w:lang w:val="en-US"/>
        </w:rPr>
      </w:pPr>
      <w:r>
        <w:rPr>
          <w:rFonts w:hint="eastAsia" w:ascii="仿宋_GB2312" w:hAnsi="仿宋" w:eastAsia="仿宋_GB2312" w:cs="Mangal"/>
          <w:kern w:val="2"/>
          <w:sz w:val="32"/>
          <w:szCs w:val="32"/>
          <w:shd w:val="clear" w:fill="FFFFFF"/>
          <w:lang w:val="en-US" w:eastAsia="zh-CN" w:bidi="ar"/>
        </w:rPr>
        <w:t>（注：综合表现分数(B)由计算机软件模拟系统自动评分）</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1"/>
    <w:family w:val="auto"/>
    <w:pitch w:val="variable"/>
    <w:sig w:usb0="00002000" w:usb1="00000000" w:usb2="00000000" w:usb3="00000000" w:csb0="00000000" w:csb1="00000000"/>
  </w:font>
  <w:font w:name="Cambria Math">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NmI3ODZlODE2M2JjZjI5MTc5OTcyN2Y0NjE4MjAifQ=="/>
  </w:docVars>
  <w:rsids>
    <w:rsidRoot w:val="00000000"/>
    <w:rsid w:val="7967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2024-05-31T02:08:32Z</dcterms:created>
  <dc:creator>49686</dc:creator>
  <cp:lastModifiedBy>49686</cp:lastModifiedBy>
  <dcterms:modified xsi:type="dcterms:W3CDTF">2024-05-31T02:09:01Z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C4A94508D4E449E4850A684B0E1837CF_12</vt:lpwstr>
  </property>
</Properties>
</file>